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C2EC" w14:textId="77777777" w:rsidR="002A201D" w:rsidRDefault="003A12C4">
      <w:r>
        <w:t>Thoughts about budgets</w:t>
      </w:r>
    </w:p>
    <w:p w14:paraId="083EC2ED" w14:textId="77777777" w:rsidR="002A201D" w:rsidRDefault="003A12C4">
      <w:r>
        <w:br/>
        <w:t>The budgets of academic libraries can be very complicated or, sometimes, quite straightforward.  For those to whom managing a library budget is new, here are some thoughts to help orient you to your unique budgetary structure.</w:t>
      </w:r>
    </w:p>
    <w:p w14:paraId="083EC2EE" w14:textId="75217A40" w:rsidR="002A201D" w:rsidRDefault="003A12C4">
      <w:pPr>
        <w:numPr>
          <w:ilvl w:val="0"/>
          <w:numId w:val="1"/>
        </w:numPr>
      </w:pPr>
      <w:r>
        <w:t xml:space="preserve">It is important to know what color of money you are dealing with.  Although it is true that “all money is green,” as a colleague used to say to indicate that money is fungible, within a library budget, there may well be restriction on how some monies can be spent, depending on where they came from.  For example, some money is one-time income, while other funds are recurring.  I recalling spending a significant amount to renovate furniture on one floor of a library, and being challenged about why those funds </w:t>
      </w:r>
      <w:r w:rsidR="009E1319">
        <w:t>were not</w:t>
      </w:r>
      <w:r>
        <w:t xml:space="preserve"> used to fill a badly-needed librarian position.  The answer was that the money that paid for the renovation was one-time surplus.  This is money that can be used once, but cannot be relied upon to support a person’s job, year after year.</w:t>
      </w:r>
    </w:p>
    <w:p w14:paraId="083EC2EF" w14:textId="77777777" w:rsidR="002A201D" w:rsidRDefault="003A12C4">
      <w:pPr>
        <w:numPr>
          <w:ilvl w:val="0"/>
          <w:numId w:val="1"/>
        </w:numPr>
      </w:pPr>
      <w:r>
        <w:t xml:space="preserve">Surpluses are lovely, and they can happen in several ways.  The money that paid for the renovation mentioned above came from the portion of the collections budget that was not spent at the end of the fiscal year.  We needed the new furniture, and did not want to turn collections money back to the institution, so we used it for that one-time purpose.  </w:t>
      </w:r>
      <w:r>
        <w:br/>
      </w:r>
      <w:r>
        <w:br/>
        <w:t>Another source of surplus money may be funds allocated for student employee wages.  Student employees often do not work as many hours as expected, so this is a budget line that is often underspent, in my experience.  Here too, care must be taken not to use such extra funds in a way that will require that the money be available each year, nor that implies to those who hold the purse strings that the budget is excessive.  Once you know that your student wages budget is regularly underspent, that is a great chance to raise the hourly wages for this vital and underpaid portion of our workforce.</w:t>
      </w:r>
    </w:p>
    <w:p w14:paraId="083EC2F0" w14:textId="1E224050" w:rsidR="002A201D" w:rsidRDefault="003A12C4">
      <w:pPr>
        <w:numPr>
          <w:ilvl w:val="0"/>
          <w:numId w:val="1"/>
        </w:numPr>
      </w:pPr>
      <w:r>
        <w:t>Personnel “lines” are another way a surplus might be generated, and also an area where local policies may vary a great deal.</w:t>
      </w:r>
      <w:r w:rsidR="00F721F3">
        <w:t xml:space="preserve">  There are two major issues to pay attention to.  First, when a line is vacant (i.e. someone has retired or otherwise left their position)</w:t>
      </w:r>
      <w:r w:rsidR="0030648B">
        <w:t>, does the library retain the line?  That is, can you move to refill the position without having to request it through the institutional budget process or not.</w:t>
      </w:r>
      <w:r w:rsidR="00973EC6">
        <w:t xml:space="preserve">  Second, and this depends on how the institution thinks about personnel “lines,” does the surplus that accumulates while a specific position is vacant</w:t>
      </w:r>
      <w:r w:rsidR="002C1E77">
        <w:t xml:space="preserve"> remain in the library budget?  At those places where the library retains those surplus salary dollars, they provide a lot of flexibility</w:t>
      </w:r>
      <w:r w:rsidR="00694FFC">
        <w:t xml:space="preserve"> to do things for which there are not budgeted funds.  It is important, however, to treat salary surplus as </w:t>
      </w:r>
      <w:r w:rsidR="00B96215">
        <w:t>one-time dollars, since they will be committed elsewhere once the position is refilled</w:t>
      </w:r>
      <w:r w:rsidR="00040706">
        <w:t>.</w:t>
      </w:r>
    </w:p>
    <w:p w14:paraId="2B6F25E8" w14:textId="16461227" w:rsidR="00711B9B" w:rsidRDefault="00711B9B" w:rsidP="00361103">
      <w:pPr>
        <w:pStyle w:val="ListParagraph"/>
        <w:numPr>
          <w:ilvl w:val="0"/>
          <w:numId w:val="1"/>
        </w:numPr>
      </w:pPr>
      <w:r>
        <w:t>A common practice in libraries is to deposit “leftover” funds from the collection budget with large vendors</w:t>
      </w:r>
      <w:r w:rsidR="00127FC8">
        <w:t xml:space="preserve">.  When there are unspent monies as the end of the fiscal year approaches, libraries often do not want to return the money to the institution for fear that </w:t>
      </w:r>
      <w:r w:rsidR="00465384">
        <w:t>their budget going forward will be reduced by that amount.  So using a deposit account to pay certain expenses in the next fiscal year can be prudent</w:t>
      </w:r>
      <w:r w:rsidR="002A3A4A">
        <w:t xml:space="preserve"> and a way to lessen the impact of the large </w:t>
      </w:r>
      <w:r w:rsidR="002A3A4A">
        <w:lastRenderedPageBreak/>
        <w:t>bills that often come due right at the start of a new fiscal year.</w:t>
      </w:r>
      <w:r w:rsidR="007640BB">
        <w:t xml:space="preserve">  </w:t>
      </w:r>
      <w:r w:rsidR="00112F76">
        <w:t>A</w:t>
      </w:r>
      <w:r w:rsidR="007640BB">
        <w:t xml:space="preserve"> library at a public</w:t>
      </w:r>
      <w:r w:rsidR="006969F1">
        <w:t xml:space="preserve"> university</w:t>
      </w:r>
      <w:r w:rsidR="007640BB">
        <w:t xml:space="preserve"> </w:t>
      </w:r>
      <w:r w:rsidR="006969F1">
        <w:t>m</w:t>
      </w:r>
      <w:r w:rsidR="00112F76">
        <w:t>ay even be asked by the parent institution to take funds from other parts of the campus budget and invest them in a deposit account at the end of the fiscal year, then pay those funds back to the institution w</w:t>
      </w:r>
      <w:r w:rsidR="006969F1">
        <w:t>hen the new fiscal year begins</w:t>
      </w:r>
      <w:r w:rsidR="003B4355">
        <w:t>.</w:t>
      </w:r>
      <w:r w:rsidR="00B40D2A" w:rsidRPr="00B40D2A">
        <w:t xml:space="preserve"> </w:t>
      </w:r>
      <w:r w:rsidR="00B40D2A">
        <w:t>This allows the parent institution</w:t>
      </w:r>
      <w:r w:rsidR="003B4355">
        <w:t xml:space="preserve"> to shield a surplus from that same urge to reduce the funds allocate to the school based on a one-time surplus.</w:t>
      </w:r>
    </w:p>
    <w:p w14:paraId="0B8D1CB9" w14:textId="4E5E0FE1" w:rsidR="001430B3" w:rsidRDefault="003A12C4">
      <w:pPr>
        <w:numPr>
          <w:ilvl w:val="0"/>
          <w:numId w:val="1"/>
        </w:numPr>
      </w:pPr>
      <w:r>
        <w:t>Grant funds</w:t>
      </w:r>
      <w:r w:rsidR="00460B23">
        <w:t xml:space="preserve"> almost always common with a lot of sti</w:t>
      </w:r>
      <w:r w:rsidR="00DF617C">
        <w:t>pulations and requirements.  Of course, such funds must be used for the purpose</w:t>
      </w:r>
      <w:r w:rsidR="00930CB6">
        <w:t xml:space="preserve"> for which they were sought.  Usually there are reporting requirements</w:t>
      </w:r>
      <w:r w:rsidR="00683572">
        <w:t xml:space="preserve"> each year that will specify how the money has been spent</w:t>
      </w:r>
      <w:r w:rsidR="001627AD">
        <w:t xml:space="preserve">.  One such requirement that is often overlooked is reporting on the amount of time employees </w:t>
      </w:r>
      <w:r w:rsidR="007462E5">
        <w:t>actually spent</w:t>
      </w:r>
      <w:r w:rsidR="001627AD">
        <w:t xml:space="preserve"> working on grant-related tasks, in those cases where the grant funds support a percent of the employee</w:t>
      </w:r>
      <w:r w:rsidR="001B0600">
        <w:t>’</w:t>
      </w:r>
      <w:r w:rsidR="001627AD">
        <w:t>s salary.</w:t>
      </w:r>
      <w:r w:rsidR="002F5F3D">
        <w:t xml:space="preserve"> </w:t>
      </w:r>
    </w:p>
    <w:p w14:paraId="083EC2F2" w14:textId="246BFED9" w:rsidR="002A201D" w:rsidRDefault="002F5F3D" w:rsidP="001430B3">
      <w:pPr>
        <w:ind w:left="720"/>
      </w:pPr>
      <w:r>
        <w:t xml:space="preserve">Another thing to be aware of </w:t>
      </w:r>
      <w:r w:rsidR="001430B3">
        <w:t>when applying for a grant is that some funders require that the institution put up matching funds</w:t>
      </w:r>
      <w:r w:rsidR="00513358">
        <w:t xml:space="preserve"> up to some percentage of the grant.  Often these must be new dollars, not simply money redirected from somewhere else in the libraries’ budget.  Such requirements ensure that the parent institution has “skin in the game.”</w:t>
      </w:r>
      <w:r w:rsidR="00523208">
        <w:t xml:space="preserve">  Also, some grants allow for “indirect costs</w:t>
      </w:r>
      <w:r w:rsidR="00D056ED">
        <w:t>,” which are the overhead costs of the institution.  Usually the institution has a standard percentage that they want to take off the top</w:t>
      </w:r>
      <w:r w:rsidR="003D190F">
        <w:t xml:space="preserve"> for these indirect costs, where a grantor allows it.  These percentages may be negotiable, but sometimes they can be very significant.  </w:t>
      </w:r>
      <w:r w:rsidR="00C071DA">
        <w:t>Such indirect costs must be considered when planning a grant application for a specific project.</w:t>
      </w:r>
    </w:p>
    <w:p w14:paraId="3BD77D7A" w14:textId="7C9482A7" w:rsidR="001B0600" w:rsidRDefault="001B0600" w:rsidP="001B0600">
      <w:pPr>
        <w:ind w:left="720"/>
      </w:pPr>
      <w:r>
        <w:t>Many granting agencies take an active interest in the work they support at colleges and universities</w:t>
      </w:r>
      <w:r w:rsidR="009A1729">
        <w:t>.  So, in cases where the project may cost more than the funds granted, it can be a good idea to talk with</w:t>
      </w:r>
      <w:r w:rsidR="000765C4">
        <w:t xml:space="preserve"> the grantor to see if additional funds can be made available.  Conversely, if the money has not all been spent at the end of the grant period, many funds will allow a “no-cost extension</w:t>
      </w:r>
      <w:r w:rsidR="00BA4527">
        <w:t>” to allow the funded work to continue (as opposed to having to return the unused funds).</w:t>
      </w:r>
    </w:p>
    <w:p w14:paraId="083EC2F3" w14:textId="6E8CC4D7" w:rsidR="002A201D" w:rsidRDefault="006D5841">
      <w:pPr>
        <w:numPr>
          <w:ilvl w:val="0"/>
          <w:numId w:val="1"/>
        </w:numPr>
      </w:pPr>
      <w:r>
        <w:t>Gifts</w:t>
      </w:r>
      <w:r w:rsidR="001A2C28">
        <w:t xml:space="preserve"> and e</w:t>
      </w:r>
      <w:r w:rsidR="003A12C4">
        <w:t>ndowments</w:t>
      </w:r>
      <w:r w:rsidR="00290401">
        <w:t xml:space="preserve"> are almost always funds that </w:t>
      </w:r>
      <w:r w:rsidR="0037383D">
        <w:t>must</w:t>
      </w:r>
      <w:r w:rsidR="00290401">
        <w:t xml:space="preserve"> be used for a specific, designated </w:t>
      </w:r>
      <w:r w:rsidR="00711B9B">
        <w:t>purpose, so</w:t>
      </w:r>
      <w:r w:rsidR="006A2056">
        <w:t xml:space="preserve"> there is limited flexibility; the key is to be creative and forward-thinking when talking to donors, so that funds are given for truly useful purposes</w:t>
      </w:r>
      <w:r w:rsidR="00AB54C9">
        <w:t>.</w:t>
      </w:r>
    </w:p>
    <w:p w14:paraId="2B1249C4" w14:textId="375ECDB8" w:rsidR="00AB54C9" w:rsidRDefault="00AB54C9" w:rsidP="00AB54C9">
      <w:pPr>
        <w:ind w:left="720"/>
      </w:pPr>
      <w:r>
        <w:t xml:space="preserve">Some gifts may be expendable, which means you can spend the entire amount for the specified purpose as needed.  A gift to buy resources in a particular subject area, for example, </w:t>
      </w:r>
      <w:r w:rsidR="006A1CA2">
        <w:t xml:space="preserve">might allow the librarian to use all of the gift money as they see fit.  Many gifts, however, are endowed, which means only the income generated by the </w:t>
      </w:r>
      <w:r w:rsidR="00EB4566">
        <w:t>principle (the amount invested) can be spent year-to-year</w:t>
      </w:r>
      <w:r w:rsidR="00692BDA">
        <w:t>.  When a position is endowed, for example, the endow</w:t>
      </w:r>
      <w:r w:rsidR="00E71020">
        <w:t>ment</w:t>
      </w:r>
      <w:r w:rsidR="00692BDA">
        <w:t xml:space="preserve"> will likely be several millions of dollars.  But what will actually be contributed to the salary</w:t>
      </w:r>
      <w:r w:rsidR="00D855D0">
        <w:t xml:space="preserve"> of the person in the endowed position</w:t>
      </w:r>
      <w:r w:rsidR="00E71020">
        <w:t xml:space="preserve"> each year</w:t>
      </w:r>
      <w:r w:rsidR="00D855D0">
        <w:t xml:space="preserve"> will only be the income generated by the endowment, usually around 5% of the total</w:t>
      </w:r>
      <w:r w:rsidR="009D193F">
        <w:t>.</w:t>
      </w:r>
      <w:r w:rsidR="00D855D0">
        <w:t xml:space="preserve"> </w:t>
      </w:r>
    </w:p>
    <w:p w14:paraId="5CA00071" w14:textId="37D050EF" w:rsidR="003C345D" w:rsidRDefault="003C345D" w:rsidP="00AB54C9">
      <w:pPr>
        <w:ind w:left="720"/>
      </w:pPr>
      <w:r>
        <w:t>It is often necessary to explain to employees th</w:t>
      </w:r>
      <w:r w:rsidR="007E170B">
        <w:t xml:space="preserve">e restrictions on endowments.  Sometimes a question arises about why we cannot afford some large purchase or new position if the school has a </w:t>
      </w:r>
      <w:r w:rsidR="005D781F">
        <w:t xml:space="preserve">billion-dollar endowment.  But the reason is that the endowment has several </w:t>
      </w:r>
      <w:r w:rsidR="005D781F">
        <w:lastRenderedPageBreak/>
        <w:t xml:space="preserve">kinds of restrictions. </w:t>
      </w:r>
      <w:r w:rsidR="00052912">
        <w:t xml:space="preserve"> Endowment funds almost always have specific purpose</w:t>
      </w:r>
      <w:r w:rsidR="00EA41A4">
        <w:t>s, and the money actually available for those purposes is only a percentage of the to</w:t>
      </w:r>
      <w:r w:rsidR="00B75676">
        <w:t>tal.  Each school decides what this “spend rate” is going to be, but it is usually in the neighborhood of 5%</w:t>
      </w:r>
      <w:r w:rsidR="00E30DD7">
        <w:t xml:space="preserve">.  Finally, endowments usually include </w:t>
      </w:r>
      <w:r w:rsidR="00E57DC4">
        <w:t xml:space="preserve">funds that are promised but not yet actually deposited with the school.  They also may include the value of </w:t>
      </w:r>
      <w:r w:rsidR="00C867FC">
        <w:t>gifts of land, art, or stock, which cannot easily be converted into cash.</w:t>
      </w:r>
    </w:p>
    <w:p w14:paraId="1432AA92" w14:textId="67D166D1" w:rsidR="005962B6" w:rsidRDefault="00D36C45" w:rsidP="00D36C45">
      <w:pPr>
        <w:pStyle w:val="ListParagraph"/>
        <w:numPr>
          <w:ilvl w:val="0"/>
          <w:numId w:val="3"/>
        </w:numPr>
      </w:pPr>
      <w:r>
        <w:t xml:space="preserve">Cutting the budget is always difficult, of course.  For all this talk about surpluses, deficits are probably more common.  </w:t>
      </w:r>
      <w:r w:rsidR="009E4139">
        <w:t xml:space="preserve">But understanding where surpluses occur is also important when it is time to make cuts.  </w:t>
      </w:r>
    </w:p>
    <w:p w14:paraId="35924DDB" w14:textId="01C15996" w:rsidR="005962B6" w:rsidRDefault="005962B6" w:rsidP="005962B6">
      <w:pPr>
        <w:pStyle w:val="ListParagraph"/>
      </w:pPr>
      <w:r>
        <w:br/>
        <w:t>Budget cut</w:t>
      </w:r>
      <w:r w:rsidR="00A26F0C">
        <w:t>s</w:t>
      </w:r>
      <w:r>
        <w:t xml:space="preserve"> may come </w:t>
      </w:r>
      <w:r w:rsidR="00726CA4">
        <w:t>during</w:t>
      </w:r>
      <w:r>
        <w:t xml:space="preserve"> a fiscal year, which means giving back funds already allocated to the library.  This is often called a </w:t>
      </w:r>
      <w:r w:rsidR="00726CA4">
        <w:t>recission</w:t>
      </w:r>
      <w:r>
        <w:t>.</w:t>
      </w:r>
      <w:r w:rsidR="00726CA4">
        <w:t xml:space="preserve"> </w:t>
      </w:r>
      <w:r w:rsidR="006644B6">
        <w:t xml:space="preserve">  Or a library may be told that their allocation for the next year will be a lower amount</w:t>
      </w:r>
      <w:r w:rsidR="00A26F0C">
        <w:t>, and that the library must show how it will reduce costs to meet this lower bottom line.</w:t>
      </w:r>
      <w:r w:rsidR="00C21556">
        <w:t xml:space="preserve">  As bad as they are, these approaches at least give the library flexibility to make its own difficult decisions.  The worst kind of a budget cut would be one where the institution takes it upon itself to</w:t>
      </w:r>
      <w:r w:rsidR="00D86568">
        <w:t xml:space="preserve"> reduce specific lines – for personnel, collections, or other purposes.</w:t>
      </w:r>
      <w:r>
        <w:br/>
      </w:r>
    </w:p>
    <w:p w14:paraId="0DEB3A20" w14:textId="77777777" w:rsidR="005747D2" w:rsidRDefault="00920E49" w:rsidP="005962B6">
      <w:pPr>
        <w:pStyle w:val="ListParagraph"/>
      </w:pPr>
      <w:r>
        <w:t xml:space="preserve">Often the first place to look </w:t>
      </w:r>
      <w:r w:rsidR="00FB0333">
        <w:t xml:space="preserve">for funds to cut </w:t>
      </w:r>
      <w:r>
        <w:t>is at unfilled positions in the library.  If the library retains control over those unfilled lines, giving them back to the institution</w:t>
      </w:r>
      <w:r w:rsidR="00F1253C">
        <w:t xml:space="preserve"> is a way to cover a cut, or part of a cut, without having to layoff any employees (although it does reduce the number of people available to get the work done).</w:t>
      </w:r>
      <w:r w:rsidR="00C3636A">
        <w:t xml:space="preserve"> </w:t>
      </w:r>
    </w:p>
    <w:p w14:paraId="6915B51B" w14:textId="77777777" w:rsidR="005747D2" w:rsidRDefault="005747D2" w:rsidP="005962B6">
      <w:pPr>
        <w:pStyle w:val="ListParagraph"/>
      </w:pPr>
    </w:p>
    <w:p w14:paraId="1A3C43FA" w14:textId="1421A077" w:rsidR="00D36C45" w:rsidRDefault="00C3636A" w:rsidP="005962B6">
      <w:pPr>
        <w:pStyle w:val="ListParagraph"/>
      </w:pPr>
      <w:r>
        <w:t xml:space="preserve"> Another place where funds to reduce the library’s budget are often found is in collections.  This is usually the second large</w:t>
      </w:r>
      <w:r w:rsidR="00EC2925">
        <w:t xml:space="preserve">st amount, after salaries, in a library budget, and administrators sometimes assume that </w:t>
      </w:r>
      <w:r w:rsidR="00995A5F">
        <w:t>the availability of so much digital content</w:t>
      </w:r>
      <w:r w:rsidR="00CD7D47">
        <w:t xml:space="preserve"> gives a library more flexibility with content (as in “it’s all on the Internet anyway, isn’t it”)</w:t>
      </w:r>
      <w:r w:rsidR="002C7A99">
        <w:t>.  Explaining the complex structure of collection today is necessary if the collection budget is going to be cut, so that administrators understand the thicket of contracts and licenses involved</w:t>
      </w:r>
      <w:r w:rsidR="00FE5500">
        <w:t>, and the multi-year nature of many deals.  The digital environment has made our collections budgets more complicated, not simpler, and administrators need to understand that.</w:t>
      </w:r>
      <w:r w:rsidR="00BC1CB3">
        <w:br/>
      </w:r>
    </w:p>
    <w:p w14:paraId="083EC2F4" w14:textId="36417BFA" w:rsidR="002A201D" w:rsidRDefault="009B3457" w:rsidP="003A12C4">
      <w:pPr>
        <w:pStyle w:val="ListParagraph"/>
      </w:pPr>
      <w:r>
        <w:t xml:space="preserve">Other </w:t>
      </w:r>
      <w:r w:rsidR="005747D2">
        <w:t>way</w:t>
      </w:r>
      <w:r>
        <w:t>s to reduce spending are in special projects and services</w:t>
      </w:r>
      <w:r w:rsidR="00BC1CB3">
        <w:t>.  Reducing the hours of a makerspace, for example, might save money</w:t>
      </w:r>
      <w:r w:rsidR="00391419">
        <w:t>.  Likewise reducing the open hours of a whole library</w:t>
      </w:r>
      <w:r w:rsidR="00382073">
        <w:t>, or ending the availability of 24-hour spaces.  But it is vital for everyone to recognize that these projects and services are really about people, and that jobs may well be lost if a service is reduced, unless the personnel can be moved to a different role.</w:t>
      </w:r>
      <w:r w:rsidR="009C499B">
        <w:t xml:space="preserve">  Reducing the number of student employees can also save money</w:t>
      </w:r>
      <w:r w:rsidR="006A0C69">
        <w:t xml:space="preserve">, and such reductions can often be made prospectively, so that no </w:t>
      </w:r>
      <w:r w:rsidR="007A1EE1">
        <w:t>employee loses their job</w:t>
      </w:r>
      <w:r w:rsidR="007D31EE">
        <w:t>;</w:t>
      </w:r>
      <w:r w:rsidR="007A1EE1">
        <w:t xml:space="preserve"> there are just fewer positions to fill going forward.</w:t>
      </w:r>
      <w:r w:rsidR="007B04DD">
        <w:t xml:space="preserve">  Once again, it is important to </w:t>
      </w:r>
      <w:r w:rsidR="007D31EE">
        <w:t>recognize</w:t>
      </w:r>
      <w:r w:rsidR="007B04DD">
        <w:t xml:space="preserve"> that these measures add to the responsibilities and stress for employees even when they retain their jobs.</w:t>
      </w:r>
    </w:p>
    <w:sectPr w:rsidR="002A201D">
      <w:pgSz w:w="11906" w:h="16838"/>
      <w:pgMar w:top="1440" w:right="1440" w:bottom="1440" w:left="1440" w:header="708" w:footer="708" w:gutter="0"/>
      <w:paperSrc w:first="1" w:other="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715F9"/>
    <w:multiLevelType w:val="hybridMultilevel"/>
    <w:tmpl w:val="324C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C7293D"/>
    <w:multiLevelType w:val="hybridMultilevel"/>
    <w:tmpl w:val="30941EF0"/>
    <w:lvl w:ilvl="0" w:tplc="54024E3E">
      <w:start w:val="1"/>
      <w:numFmt w:val="bullet"/>
      <w:lvlText w:val=""/>
      <w:lvlJc w:val="left"/>
      <w:pPr>
        <w:ind w:left="720" w:hanging="360"/>
      </w:pPr>
      <w:rPr>
        <w:rFonts w:ascii="Symbol" w:hAnsi="Symbol"/>
      </w:rPr>
    </w:lvl>
    <w:lvl w:ilvl="1" w:tplc="080C0B4A">
      <w:start w:val="1"/>
      <w:numFmt w:val="bullet"/>
      <w:lvlText w:val="o"/>
      <w:lvlJc w:val="left"/>
      <w:pPr>
        <w:ind w:left="1440" w:hanging="360"/>
      </w:pPr>
      <w:rPr>
        <w:rFonts w:ascii="Courier New" w:hAnsi="Courier New" w:cs="Courier New"/>
      </w:rPr>
    </w:lvl>
    <w:lvl w:ilvl="2" w:tplc="53E278CA" w:tentative="1">
      <w:start w:val="1"/>
      <w:numFmt w:val="bullet"/>
      <w:lvlText w:val=""/>
      <w:lvlJc w:val="left"/>
      <w:pPr>
        <w:ind w:left="2160" w:hanging="360"/>
      </w:pPr>
      <w:rPr>
        <w:rFonts w:ascii="Wingdings" w:hAnsi="Wingdings"/>
      </w:rPr>
    </w:lvl>
    <w:lvl w:ilvl="3" w:tplc="5650B17A" w:tentative="1">
      <w:start w:val="1"/>
      <w:numFmt w:val="bullet"/>
      <w:lvlText w:val=""/>
      <w:lvlJc w:val="left"/>
      <w:pPr>
        <w:ind w:left="2880" w:hanging="360"/>
      </w:pPr>
      <w:rPr>
        <w:rFonts w:ascii="Symbol" w:hAnsi="Symbol"/>
      </w:rPr>
    </w:lvl>
    <w:lvl w:ilvl="4" w:tplc="351243F0" w:tentative="1">
      <w:start w:val="1"/>
      <w:numFmt w:val="bullet"/>
      <w:lvlText w:val="o"/>
      <w:lvlJc w:val="left"/>
      <w:pPr>
        <w:ind w:left="3600" w:hanging="360"/>
      </w:pPr>
      <w:rPr>
        <w:rFonts w:ascii="Courier New" w:hAnsi="Courier New" w:cs="Courier New"/>
      </w:rPr>
    </w:lvl>
    <w:lvl w:ilvl="5" w:tplc="AB8818B0" w:tentative="1">
      <w:start w:val="1"/>
      <w:numFmt w:val="bullet"/>
      <w:lvlText w:val=""/>
      <w:lvlJc w:val="left"/>
      <w:pPr>
        <w:ind w:left="4320" w:hanging="360"/>
      </w:pPr>
      <w:rPr>
        <w:rFonts w:ascii="Wingdings" w:hAnsi="Wingdings"/>
      </w:rPr>
    </w:lvl>
    <w:lvl w:ilvl="6" w:tplc="7C6E09B6" w:tentative="1">
      <w:start w:val="1"/>
      <w:numFmt w:val="bullet"/>
      <w:lvlText w:val=""/>
      <w:lvlJc w:val="left"/>
      <w:pPr>
        <w:ind w:left="5040" w:hanging="360"/>
      </w:pPr>
      <w:rPr>
        <w:rFonts w:ascii="Symbol" w:hAnsi="Symbol"/>
      </w:rPr>
    </w:lvl>
    <w:lvl w:ilvl="7" w:tplc="ED64C2D4" w:tentative="1">
      <w:start w:val="1"/>
      <w:numFmt w:val="bullet"/>
      <w:lvlText w:val="o"/>
      <w:lvlJc w:val="left"/>
      <w:pPr>
        <w:ind w:left="5760" w:hanging="360"/>
      </w:pPr>
      <w:rPr>
        <w:rFonts w:ascii="Courier New" w:hAnsi="Courier New" w:cs="Courier New"/>
      </w:rPr>
    </w:lvl>
    <w:lvl w:ilvl="8" w:tplc="EA0EA546" w:tentative="1">
      <w:start w:val="1"/>
      <w:numFmt w:val="bullet"/>
      <w:lvlText w:val=""/>
      <w:lvlJc w:val="left"/>
      <w:pPr>
        <w:ind w:left="6480" w:hanging="360"/>
      </w:pPr>
      <w:rPr>
        <w:rFonts w:ascii="Wingdings" w:hAnsi="Wingdings"/>
      </w:rPr>
    </w:lvl>
  </w:abstractNum>
  <w:abstractNum w:abstractNumId="2" w15:restartNumberingAfterBreak="0">
    <w:nsid w:val="788A0FAD"/>
    <w:multiLevelType w:val="hybridMultilevel"/>
    <w:tmpl w:val="4308D9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2231183">
    <w:abstractNumId w:val="1"/>
  </w:num>
  <w:num w:numId="2" w16cid:durableId="1605308502">
    <w:abstractNumId w:val="2"/>
  </w:num>
  <w:num w:numId="3" w16cid:durableId="294138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useWord2013TrackBottomHyphenation" w:uri="http://schemas.microsoft.com/office/word" w:val="1"/>
  </w:compat>
  <w:rsids>
    <w:rsidRoot w:val="002A201D"/>
    <w:rsid w:val="00040706"/>
    <w:rsid w:val="00052912"/>
    <w:rsid w:val="000765C4"/>
    <w:rsid w:val="000C49EC"/>
    <w:rsid w:val="00112F76"/>
    <w:rsid w:val="00127FC8"/>
    <w:rsid w:val="001430B3"/>
    <w:rsid w:val="001627AD"/>
    <w:rsid w:val="001A2C28"/>
    <w:rsid w:val="001B0600"/>
    <w:rsid w:val="00236E3C"/>
    <w:rsid w:val="00290401"/>
    <w:rsid w:val="002A201D"/>
    <w:rsid w:val="002A3A4A"/>
    <w:rsid w:val="002C1E77"/>
    <w:rsid w:val="002C7A99"/>
    <w:rsid w:val="002F5F3D"/>
    <w:rsid w:val="0030648B"/>
    <w:rsid w:val="00361103"/>
    <w:rsid w:val="0037383D"/>
    <w:rsid w:val="00382073"/>
    <w:rsid w:val="00391419"/>
    <w:rsid w:val="003A12C4"/>
    <w:rsid w:val="003B4355"/>
    <w:rsid w:val="003C345D"/>
    <w:rsid w:val="003D190F"/>
    <w:rsid w:val="00460B23"/>
    <w:rsid w:val="00465384"/>
    <w:rsid w:val="00513358"/>
    <w:rsid w:val="00523208"/>
    <w:rsid w:val="005747D2"/>
    <w:rsid w:val="005962B6"/>
    <w:rsid w:val="005D781F"/>
    <w:rsid w:val="006644B6"/>
    <w:rsid w:val="00683572"/>
    <w:rsid w:val="00692BDA"/>
    <w:rsid w:val="00694FFC"/>
    <w:rsid w:val="006969F1"/>
    <w:rsid w:val="006A0C69"/>
    <w:rsid w:val="006A1CA2"/>
    <w:rsid w:val="006A2056"/>
    <w:rsid w:val="006D5841"/>
    <w:rsid w:val="00711B9B"/>
    <w:rsid w:val="00726CA4"/>
    <w:rsid w:val="007462E5"/>
    <w:rsid w:val="007640BB"/>
    <w:rsid w:val="007A1EE1"/>
    <w:rsid w:val="007B04DD"/>
    <w:rsid w:val="007D31EE"/>
    <w:rsid w:val="007E170B"/>
    <w:rsid w:val="008340BF"/>
    <w:rsid w:val="00841B5C"/>
    <w:rsid w:val="00920E49"/>
    <w:rsid w:val="00930CB6"/>
    <w:rsid w:val="00973EC6"/>
    <w:rsid w:val="00995A5F"/>
    <w:rsid w:val="009A1729"/>
    <w:rsid w:val="009B3457"/>
    <w:rsid w:val="009C499B"/>
    <w:rsid w:val="009D193F"/>
    <w:rsid w:val="009E1319"/>
    <w:rsid w:val="009E4139"/>
    <w:rsid w:val="00A26F0C"/>
    <w:rsid w:val="00AB54C9"/>
    <w:rsid w:val="00B40D2A"/>
    <w:rsid w:val="00B50916"/>
    <w:rsid w:val="00B75676"/>
    <w:rsid w:val="00B96215"/>
    <w:rsid w:val="00BA4527"/>
    <w:rsid w:val="00BC1CB3"/>
    <w:rsid w:val="00C071DA"/>
    <w:rsid w:val="00C21556"/>
    <w:rsid w:val="00C3636A"/>
    <w:rsid w:val="00C867FC"/>
    <w:rsid w:val="00CA3320"/>
    <w:rsid w:val="00CD7D47"/>
    <w:rsid w:val="00D056ED"/>
    <w:rsid w:val="00D36C45"/>
    <w:rsid w:val="00D77E11"/>
    <w:rsid w:val="00D855D0"/>
    <w:rsid w:val="00D86568"/>
    <w:rsid w:val="00DF617C"/>
    <w:rsid w:val="00E30DD7"/>
    <w:rsid w:val="00E57DC4"/>
    <w:rsid w:val="00E71020"/>
    <w:rsid w:val="00EA41A4"/>
    <w:rsid w:val="00EB4566"/>
    <w:rsid w:val="00EC2925"/>
    <w:rsid w:val="00F1253C"/>
    <w:rsid w:val="00F721F3"/>
    <w:rsid w:val="00FB0333"/>
    <w:rsid w:val="00FD27B1"/>
    <w:rsid w:val="00FE550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EC2EC"/>
  <w15:docId w15:val="{2DE6C419-A5F6-4D93-964D-0E23C333E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fault">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1703</Words>
  <Characters>8212</Characters>
  <Application>Microsoft Office Word</Application>
  <DocSecurity>0</DocSecurity>
  <Lines>126</Lines>
  <Paragraphs>21</Paragraphs>
  <ScaleCrop>false</ScaleCrop>
  <Company/>
  <LinksUpToDate>false</LinksUpToDate>
  <CharactersWithSpaces>9894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Smith</dc:creator>
  <cp:lastModifiedBy>Kevin Smith</cp:lastModifiedBy>
  <cp:revision>91</cp:revision>
  <dcterms:created xsi:type="dcterms:W3CDTF">2025-09-17T19:25:00Z</dcterms:created>
  <dcterms:modified xsi:type="dcterms:W3CDTF">2025-10-04T15:15:00Z</dcterms:modified>
</cp:coreProperties>
</file>